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5AC49" w14:textId="769F7AFD" w:rsidR="00FB1948" w:rsidRPr="004F33CC" w:rsidRDefault="00FB1948" w:rsidP="00FB1948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Schlagzeilen</w:t>
      </w:r>
      <w:r w:rsidRPr="004F33CC">
        <w:rPr>
          <w:rFonts w:asciiTheme="majorHAnsi" w:hAnsiTheme="majorHAnsi"/>
          <w:b/>
          <w:sz w:val="22"/>
          <w:szCs w:val="22"/>
        </w:rPr>
        <w:t>-Collage</w:t>
      </w:r>
      <w:r>
        <w:rPr>
          <w:rFonts w:asciiTheme="majorHAnsi" w:hAnsiTheme="majorHAnsi"/>
          <w:b/>
          <w:sz w:val="22"/>
          <w:szCs w:val="22"/>
        </w:rPr>
        <w:t xml:space="preserve">n </w:t>
      </w:r>
      <w:r w:rsidR="0006746E">
        <w:rPr>
          <w:rFonts w:asciiTheme="majorHAnsi" w:hAnsiTheme="majorHAnsi"/>
          <w:b/>
          <w:sz w:val="22"/>
          <w:szCs w:val="22"/>
        </w:rPr>
        <w:t>zur EU und GAP</w:t>
      </w:r>
    </w:p>
    <w:p w14:paraId="178F465D" w14:textId="77777777" w:rsidR="00FB1948" w:rsidRPr="004F33CC" w:rsidRDefault="00FB1948" w:rsidP="00FB1948">
      <w:pPr>
        <w:rPr>
          <w:rFonts w:asciiTheme="majorHAnsi" w:hAnsiTheme="majorHAnsi"/>
          <w:sz w:val="22"/>
          <w:szCs w:val="22"/>
        </w:rPr>
      </w:pPr>
    </w:p>
    <w:p w14:paraId="6E8B0917" w14:textId="5F3E3092" w:rsidR="00FB1948" w:rsidRPr="004F33CC" w:rsidRDefault="0006746E" w:rsidP="00FB1948">
      <w:pPr>
        <w:rPr>
          <w:rFonts w:asciiTheme="majorHAnsi" w:hAnsiTheme="majorHAnsi"/>
          <w:i/>
          <w:sz w:val="22"/>
          <w:szCs w:val="22"/>
        </w:rPr>
      </w:pPr>
      <w:r w:rsidRPr="0006746E">
        <w:rPr>
          <w:rFonts w:asciiTheme="majorHAnsi" w:hAnsiTheme="majorHAnsi"/>
          <w:i/>
          <w:sz w:val="22"/>
          <w:szCs w:val="22"/>
        </w:rPr>
        <w:t xml:space="preserve">Zum Einstieg in ein kontroverses </w:t>
      </w:r>
      <w:r>
        <w:rPr>
          <w:rFonts w:asciiTheme="majorHAnsi" w:hAnsiTheme="majorHAnsi"/>
          <w:i/>
          <w:sz w:val="22"/>
          <w:szCs w:val="22"/>
        </w:rPr>
        <w:t>Thema</w:t>
      </w:r>
      <w:r w:rsidRPr="0006746E">
        <w:rPr>
          <w:rFonts w:asciiTheme="majorHAnsi" w:hAnsiTheme="majorHAnsi"/>
          <w:i/>
          <w:sz w:val="22"/>
          <w:szCs w:val="22"/>
        </w:rPr>
        <w:t xml:space="preserve"> kann eine Schlagzeilen-Collage hilfreich sein. Sie zeigt pointiert und übersichtlich verschiedene Meinungen zu einer Fragestellung.</w:t>
      </w:r>
      <w:r>
        <w:rPr>
          <w:rFonts w:asciiTheme="majorHAnsi" w:hAnsiTheme="majorHAnsi"/>
          <w:i/>
          <w:sz w:val="22"/>
          <w:szCs w:val="22"/>
        </w:rPr>
        <w:t xml:space="preserve"> Gleichzeitig vermittelt sie Medienkompetenzen. Die erste Schlagzeilen-Sammlung dreht sich um die Stellung des Europäischen Parlaments und eine zweite um die weitere Reform der GAP in 2020. </w:t>
      </w:r>
    </w:p>
    <w:p w14:paraId="66E8B71B" w14:textId="77777777" w:rsidR="00FB1948" w:rsidRPr="004F33CC" w:rsidRDefault="00FB1948" w:rsidP="00FB1948">
      <w:pPr>
        <w:rPr>
          <w:rFonts w:asciiTheme="majorHAnsi" w:hAnsiTheme="majorHAnsi"/>
          <w:sz w:val="22"/>
          <w:szCs w:val="22"/>
        </w:rPr>
      </w:pPr>
    </w:p>
    <w:p w14:paraId="08C57B7A" w14:textId="77777777" w:rsidR="00FB1948" w:rsidRPr="004F33CC" w:rsidRDefault="00FB1948" w:rsidP="00FB1948">
      <w:pPr>
        <w:rPr>
          <w:rFonts w:asciiTheme="majorHAnsi" w:hAnsiTheme="majorHAnsi"/>
          <w:b/>
          <w:sz w:val="22"/>
          <w:szCs w:val="22"/>
        </w:rPr>
      </w:pPr>
      <w:r w:rsidRPr="004F33CC">
        <w:rPr>
          <w:rFonts w:asciiTheme="majorHAnsi" w:hAnsiTheme="majorHAnsi"/>
          <w:b/>
          <w:sz w:val="22"/>
          <w:szCs w:val="22"/>
        </w:rPr>
        <w:t>Eckdaten zur Methode</w:t>
      </w:r>
    </w:p>
    <w:tbl>
      <w:tblPr>
        <w:tblStyle w:val="MittlereListe1"/>
        <w:tblW w:w="9039" w:type="dxa"/>
        <w:tblLook w:val="04A0" w:firstRow="1" w:lastRow="0" w:firstColumn="1" w:lastColumn="0" w:noHBand="0" w:noVBand="1"/>
      </w:tblPr>
      <w:tblGrid>
        <w:gridCol w:w="2384"/>
        <w:gridCol w:w="6655"/>
      </w:tblGrid>
      <w:tr w:rsidR="00FB1948" w14:paraId="4313F76F" w14:textId="77777777" w:rsidTr="009E7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single" w:sz="8" w:space="0" w:color="000000" w:themeColor="text1"/>
              <w:bottom w:val="nil"/>
            </w:tcBorders>
            <w:shd w:val="clear" w:color="auto" w:fill="C0C0C0"/>
          </w:tcPr>
          <w:p w14:paraId="1B1EA3AE" w14:textId="77777777" w:rsidR="00FB1948" w:rsidRDefault="00FB1948" w:rsidP="009E7CE8">
            <w:pPr>
              <w:rPr>
                <w:b w:val="0"/>
                <w:sz w:val="22"/>
                <w:szCs w:val="22"/>
              </w:rPr>
            </w:pPr>
            <w:r w:rsidRPr="008167FB">
              <w:rPr>
                <w:sz w:val="22"/>
                <w:szCs w:val="22"/>
              </w:rPr>
              <w:t>Spieltyp</w:t>
            </w:r>
          </w:p>
        </w:tc>
        <w:tc>
          <w:tcPr>
            <w:tcW w:w="6655" w:type="dxa"/>
            <w:tcBorders>
              <w:top w:val="single" w:sz="8" w:space="0" w:color="000000" w:themeColor="text1"/>
              <w:bottom w:val="nil"/>
            </w:tcBorders>
            <w:shd w:val="clear" w:color="auto" w:fill="C0C0C0"/>
          </w:tcPr>
          <w:p w14:paraId="017A1212" w14:textId="77777777" w:rsidR="00FB1948" w:rsidRPr="001F6CE3" w:rsidRDefault="00FB1948" w:rsidP="009E7C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72F7D">
              <w:rPr>
                <w:szCs w:val="22"/>
              </w:rPr>
              <w:t>Assoziationsspiel</w:t>
            </w:r>
          </w:p>
        </w:tc>
      </w:tr>
      <w:tr w:rsidR="00FB1948" w14:paraId="049ADC0B" w14:textId="77777777" w:rsidTr="009E7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70082E52" w14:textId="77777777" w:rsidR="00FB1948" w:rsidRDefault="00FB1948" w:rsidP="009E7CE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8167FB">
              <w:rPr>
                <w:rFonts w:asciiTheme="majorHAnsi" w:hAnsiTheme="majorHAnsi"/>
                <w:sz w:val="22"/>
                <w:szCs w:val="22"/>
              </w:rPr>
              <w:t>Unterrichtsphase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04E5F2A8" w14:textId="77777777" w:rsidR="00FB1948" w:rsidRDefault="00FB1948" w:rsidP="009E7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1F6CE3">
              <w:rPr>
                <w:rFonts w:asciiTheme="majorHAnsi" w:hAnsiTheme="majorHAnsi"/>
              </w:rPr>
              <w:t>Einstieg</w:t>
            </w:r>
          </w:p>
        </w:tc>
      </w:tr>
      <w:tr w:rsidR="00FB1948" w14:paraId="60500F96" w14:textId="77777777" w:rsidTr="009E7C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43F850A3" w14:textId="77777777" w:rsidR="00FB1948" w:rsidRDefault="00FB1948" w:rsidP="009E7CE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8167FB">
              <w:rPr>
                <w:rFonts w:asciiTheme="majorHAnsi" w:hAnsiTheme="majorHAnsi"/>
                <w:sz w:val="22"/>
                <w:szCs w:val="22"/>
              </w:rPr>
              <w:t>Sozialform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283A515C" w14:textId="77777777" w:rsidR="00FB1948" w:rsidRDefault="00FB1948" w:rsidP="009E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172F7D">
              <w:rPr>
                <w:rFonts w:asciiTheme="majorHAnsi" w:hAnsiTheme="majorHAnsi"/>
                <w:szCs w:val="22"/>
              </w:rPr>
              <w:t>Einzelarbeit, Partnerarbeit, Gruppenarbeit, Plenum</w:t>
            </w:r>
          </w:p>
        </w:tc>
      </w:tr>
      <w:tr w:rsidR="00FB1948" w14:paraId="31FC1316" w14:textId="77777777" w:rsidTr="009E7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7A72CD2C" w14:textId="77777777" w:rsidR="00FB1948" w:rsidRDefault="00FB1948" w:rsidP="009E7CE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8167FB">
              <w:rPr>
                <w:rFonts w:asciiTheme="majorHAnsi" w:hAnsiTheme="majorHAnsi"/>
                <w:sz w:val="22"/>
                <w:szCs w:val="22"/>
              </w:rPr>
              <w:t xml:space="preserve">Zeitaufwand 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21360F77" w14:textId="77777777" w:rsidR="00FB1948" w:rsidRDefault="00FB1948" w:rsidP="009E7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172F7D">
              <w:rPr>
                <w:rFonts w:asciiTheme="majorHAnsi" w:hAnsiTheme="majorHAnsi"/>
                <w:szCs w:val="22"/>
              </w:rPr>
              <w:t>gering</w:t>
            </w:r>
          </w:p>
        </w:tc>
      </w:tr>
      <w:tr w:rsidR="00FB1948" w14:paraId="23EF4D67" w14:textId="77777777" w:rsidTr="009E7C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2E74F814" w14:textId="77777777" w:rsidR="00FB1948" w:rsidRPr="008167FB" w:rsidRDefault="00FB1948" w:rsidP="009E7CE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8167FB">
              <w:rPr>
                <w:rFonts w:asciiTheme="majorHAnsi" w:hAnsiTheme="majorHAnsi"/>
                <w:sz w:val="22"/>
                <w:szCs w:val="22"/>
              </w:rPr>
              <w:t>Materialaufwand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585DDCDF" w14:textId="77777777" w:rsidR="00FB1948" w:rsidRPr="008167FB" w:rsidRDefault="00FB1948" w:rsidP="009E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72F7D">
              <w:rPr>
                <w:rFonts w:asciiTheme="majorHAnsi" w:hAnsiTheme="majorHAnsi"/>
                <w:szCs w:val="22"/>
              </w:rPr>
              <w:t>gering</w:t>
            </w:r>
          </w:p>
        </w:tc>
      </w:tr>
      <w:tr w:rsidR="00FB1948" w14:paraId="4C44DD1D" w14:textId="77777777" w:rsidTr="009E7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2E791B98" w14:textId="77777777" w:rsidR="00FB1948" w:rsidRPr="008167FB" w:rsidRDefault="00FB1948" w:rsidP="009E7CE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77247261" w14:textId="77777777" w:rsidR="00FB1948" w:rsidRPr="008167FB" w:rsidRDefault="00FB1948" w:rsidP="009E7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1948" w14:paraId="3B4A5246" w14:textId="77777777" w:rsidTr="009E7C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tcBorders>
              <w:top w:val="nil"/>
              <w:bottom w:val="nil"/>
            </w:tcBorders>
            <w:shd w:val="clear" w:color="auto" w:fill="C0C0C0"/>
          </w:tcPr>
          <w:p w14:paraId="08E36E57" w14:textId="77777777" w:rsidR="00FB1948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205683">
              <w:rPr>
                <w:rFonts w:asciiTheme="majorHAnsi" w:hAnsiTheme="majorHAnsi"/>
                <w:sz w:val="22"/>
                <w:szCs w:val="22"/>
              </w:rPr>
              <w:t>Diese Kompetenzen werden erworben</w:t>
            </w:r>
          </w:p>
          <w:p w14:paraId="180CBA0D" w14:textId="77777777" w:rsidR="00FB1948" w:rsidRPr="008167FB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1948" w14:paraId="2C4E3329" w14:textId="77777777" w:rsidTr="009E7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2D432132" w14:textId="77777777" w:rsidR="00FB1948" w:rsidRPr="00FB1948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FB1948">
              <w:rPr>
                <w:rFonts w:asciiTheme="majorHAnsi" w:hAnsiTheme="majorHAnsi"/>
                <w:sz w:val="22"/>
              </w:rPr>
              <w:t>Analysekompetenz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035D45DF" w14:textId="7D474B79" w:rsidR="00FB1948" w:rsidRPr="00FB1948" w:rsidRDefault="00FB1948" w:rsidP="00067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FB1948">
              <w:rPr>
                <w:rFonts w:asciiTheme="majorHAnsi" w:hAnsiTheme="majorHAnsi"/>
                <w:sz w:val="22"/>
                <w:szCs w:val="22"/>
              </w:rPr>
              <w:t xml:space="preserve">Die </w:t>
            </w:r>
            <w:r w:rsidR="0006746E">
              <w:rPr>
                <w:rFonts w:asciiTheme="majorHAnsi" w:hAnsiTheme="majorHAnsi"/>
                <w:sz w:val="22"/>
                <w:szCs w:val="22"/>
              </w:rPr>
              <w:t>Schüler*innen</w:t>
            </w:r>
            <w:r w:rsidRPr="00FB1948">
              <w:rPr>
                <w:rFonts w:asciiTheme="majorHAnsi" w:hAnsiTheme="majorHAnsi"/>
                <w:sz w:val="22"/>
                <w:szCs w:val="22"/>
              </w:rPr>
              <w:t xml:space="preserve"> können eine Thematik/Problemlage in ihrer Komplexität beschreiben und erklären in welcher Beziehung die einzelnen Aussagen zum Thema stehen und welche Interesse</w:t>
            </w:r>
            <w:r w:rsidR="00900A83">
              <w:rPr>
                <w:rFonts w:asciiTheme="majorHAnsi" w:hAnsiTheme="majorHAnsi"/>
                <w:sz w:val="22"/>
                <w:szCs w:val="22"/>
              </w:rPr>
              <w:t>n</w:t>
            </w:r>
            <w:r w:rsidRPr="00FB1948">
              <w:rPr>
                <w:rFonts w:asciiTheme="majorHAnsi" w:hAnsiTheme="majorHAnsi"/>
                <w:sz w:val="22"/>
                <w:szCs w:val="22"/>
              </w:rPr>
              <w:t xml:space="preserve"> die Autor*innen haben.</w:t>
            </w:r>
          </w:p>
        </w:tc>
      </w:tr>
    </w:tbl>
    <w:p w14:paraId="4F0D79BF" w14:textId="77777777" w:rsidR="00FB1948" w:rsidRPr="004F33CC" w:rsidRDefault="00FB1948" w:rsidP="00FB1948">
      <w:pPr>
        <w:rPr>
          <w:rFonts w:asciiTheme="majorHAnsi" w:hAnsiTheme="majorHAnsi"/>
          <w:b/>
          <w:sz w:val="22"/>
          <w:szCs w:val="22"/>
        </w:rPr>
      </w:pPr>
    </w:p>
    <w:p w14:paraId="530463A9" w14:textId="77777777" w:rsidR="00FB1948" w:rsidRPr="004F33CC" w:rsidRDefault="00FB1948" w:rsidP="00FB1948">
      <w:pPr>
        <w:rPr>
          <w:rFonts w:asciiTheme="majorHAnsi" w:hAnsiTheme="majorHAnsi"/>
          <w:b/>
          <w:sz w:val="22"/>
          <w:szCs w:val="22"/>
        </w:rPr>
      </w:pPr>
      <w:r w:rsidRPr="004F33CC">
        <w:rPr>
          <w:rFonts w:asciiTheme="majorHAnsi" w:hAnsiTheme="majorHAnsi"/>
          <w:b/>
          <w:sz w:val="22"/>
          <w:szCs w:val="22"/>
        </w:rPr>
        <w:t>Praxishinweise</w:t>
      </w:r>
    </w:p>
    <w:p w14:paraId="6A702AFA" w14:textId="77777777" w:rsidR="00FB1948" w:rsidRPr="004F33CC" w:rsidRDefault="00FB1948" w:rsidP="00FB1948">
      <w:pPr>
        <w:rPr>
          <w:rFonts w:asciiTheme="majorHAnsi" w:hAnsiTheme="majorHAnsi"/>
          <w:sz w:val="22"/>
          <w:szCs w:val="22"/>
        </w:rPr>
      </w:pPr>
    </w:p>
    <w:p w14:paraId="6C2D97D4" w14:textId="6F319F6B" w:rsidR="00FB1948" w:rsidRPr="004F33CC" w:rsidRDefault="0006746E" w:rsidP="00FB194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Die Schlagzeilen-</w:t>
      </w:r>
      <w:r w:rsidR="00FB1948" w:rsidRPr="004F33CC">
        <w:rPr>
          <w:rFonts w:asciiTheme="majorHAnsi" w:hAnsiTheme="majorHAnsi"/>
          <w:sz w:val="22"/>
          <w:szCs w:val="22"/>
        </w:rPr>
        <w:t>Collagen können sehr flexibel durchgeführt werden, von Einzelarbeit bis</w:t>
      </w:r>
      <w:r>
        <w:rPr>
          <w:rFonts w:asciiTheme="majorHAnsi" w:hAnsiTheme="majorHAnsi"/>
          <w:sz w:val="22"/>
          <w:szCs w:val="22"/>
        </w:rPr>
        <w:t xml:space="preserve"> im Plenum</w:t>
      </w:r>
      <w:r w:rsidR="00FB1948" w:rsidRPr="004F33CC">
        <w:rPr>
          <w:rFonts w:asciiTheme="majorHAnsi" w:hAnsiTheme="majorHAnsi"/>
          <w:sz w:val="22"/>
          <w:szCs w:val="22"/>
        </w:rPr>
        <w:t xml:space="preserve">. Die </w:t>
      </w:r>
      <w:r w:rsidR="00FB1948">
        <w:rPr>
          <w:rFonts w:asciiTheme="majorHAnsi" w:hAnsiTheme="majorHAnsi"/>
          <w:sz w:val="22"/>
          <w:szCs w:val="22"/>
        </w:rPr>
        <w:t>Schüler</w:t>
      </w:r>
      <w:r w:rsidR="00FB1948" w:rsidRPr="004F33CC">
        <w:rPr>
          <w:rFonts w:asciiTheme="majorHAnsi" w:hAnsiTheme="majorHAnsi"/>
          <w:sz w:val="22"/>
          <w:szCs w:val="22"/>
        </w:rPr>
        <w:t>*innen arbeiten die verschiedenen Positionen und ihre Argumente heraus. Dabei soll</w:t>
      </w:r>
      <w:r>
        <w:rPr>
          <w:rFonts w:asciiTheme="majorHAnsi" w:hAnsiTheme="majorHAnsi"/>
          <w:sz w:val="22"/>
          <w:szCs w:val="22"/>
        </w:rPr>
        <w:t>t</w:t>
      </w:r>
      <w:r w:rsidR="00B10A01">
        <w:rPr>
          <w:rFonts w:asciiTheme="majorHAnsi" w:hAnsiTheme="majorHAnsi"/>
          <w:sz w:val="22"/>
          <w:szCs w:val="22"/>
        </w:rPr>
        <w:t>en sie immer beachten, von w</w:t>
      </w:r>
      <w:r w:rsidR="00FB1948" w:rsidRPr="004F33CC">
        <w:rPr>
          <w:rFonts w:asciiTheme="majorHAnsi" w:hAnsiTheme="majorHAnsi"/>
          <w:sz w:val="22"/>
          <w:szCs w:val="22"/>
        </w:rPr>
        <w:t xml:space="preserve">em die Aussage wann gemacht wurde bzw. wo die Schlagzeile veröffentlicht wurde. Außerdem bieten die Collagen durch ihr breit gefächertes Meinungsspektrum einen guten Anlass zur Diskussion. </w:t>
      </w:r>
    </w:p>
    <w:p w14:paraId="2C268625" w14:textId="77777777" w:rsidR="00F737AC" w:rsidRDefault="00F737AC"/>
    <w:p w14:paraId="5CF50318" w14:textId="77777777" w:rsidR="00FB1948" w:rsidRDefault="00FB1948"/>
    <w:p w14:paraId="3E849EC3" w14:textId="77777777" w:rsidR="00FB1948" w:rsidRDefault="00FB1948"/>
    <w:p w14:paraId="00CB8007" w14:textId="77777777" w:rsidR="00FB1948" w:rsidRDefault="00FB1948"/>
    <w:p w14:paraId="19FB3036" w14:textId="77777777" w:rsidR="00FB1948" w:rsidRDefault="00FB1948"/>
    <w:p w14:paraId="54754CC7" w14:textId="77777777" w:rsidR="00FB1948" w:rsidRDefault="00FB1948"/>
    <w:p w14:paraId="330F465F" w14:textId="77777777" w:rsidR="00FB1948" w:rsidRDefault="00FB1948"/>
    <w:p w14:paraId="6C0B8506" w14:textId="77777777" w:rsidR="00FB1948" w:rsidRDefault="00FB1948"/>
    <w:p w14:paraId="10FB2135" w14:textId="77777777" w:rsidR="00FB1948" w:rsidRDefault="00FB1948"/>
    <w:p w14:paraId="0D35A2A2" w14:textId="77777777" w:rsidR="00FB1948" w:rsidRDefault="00FB1948"/>
    <w:p w14:paraId="5DACD30D" w14:textId="77777777" w:rsidR="00FB1948" w:rsidRDefault="00FB1948"/>
    <w:p w14:paraId="4A298E63" w14:textId="77777777" w:rsidR="00FB1948" w:rsidRDefault="00FB1948"/>
    <w:p w14:paraId="37483EB0" w14:textId="77777777" w:rsidR="00FB1948" w:rsidRDefault="00FB1948"/>
    <w:p w14:paraId="6999ADCB" w14:textId="77777777" w:rsidR="00FB1948" w:rsidRDefault="00FB1948"/>
    <w:p w14:paraId="47AD2601" w14:textId="77777777" w:rsidR="00FB1948" w:rsidRDefault="00FB1948"/>
    <w:p w14:paraId="5897C55C" w14:textId="77777777" w:rsidR="00FB1948" w:rsidRDefault="00FB1948"/>
    <w:p w14:paraId="517B41D2" w14:textId="77777777" w:rsidR="00FB1948" w:rsidRDefault="00FB1948"/>
    <w:p w14:paraId="0099089C" w14:textId="77777777" w:rsidR="00FB1948" w:rsidRDefault="00FB1948"/>
    <w:p w14:paraId="09EBEAB1" w14:textId="77777777" w:rsidR="00FB1948" w:rsidRDefault="00FB1948"/>
    <w:p w14:paraId="3A974D9C" w14:textId="77777777" w:rsidR="00FB1948" w:rsidRDefault="00FB1948"/>
    <w:p w14:paraId="59893FAF" w14:textId="77777777" w:rsidR="00FB1948" w:rsidRDefault="00FB1948"/>
    <w:p w14:paraId="015D1537" w14:textId="77777777" w:rsidR="00FB1948" w:rsidRDefault="00FB1948"/>
    <w:p w14:paraId="6B037D06" w14:textId="77777777" w:rsidR="00FB1948" w:rsidRDefault="00FB1948"/>
    <w:p w14:paraId="7FE04929" w14:textId="77777777" w:rsidR="00FB1948" w:rsidRDefault="00FB1948"/>
    <w:p w14:paraId="5A63AA8C" w14:textId="77777777" w:rsidR="00FB1948" w:rsidRDefault="00FB1948"/>
    <w:p w14:paraId="3C92920E" w14:textId="77777777" w:rsidR="00FB1948" w:rsidRPr="004F33CC" w:rsidRDefault="00FB1948" w:rsidP="00FB1948">
      <w:pPr>
        <w:tabs>
          <w:tab w:val="left" w:pos="919"/>
        </w:tabs>
        <w:rPr>
          <w:rFonts w:asciiTheme="majorHAnsi" w:hAnsiTheme="majorHAnsi"/>
          <w:b/>
          <w:sz w:val="22"/>
          <w:szCs w:val="22"/>
        </w:rPr>
      </w:pPr>
      <w:r w:rsidRPr="004F33CC">
        <w:rPr>
          <w:rFonts w:asciiTheme="majorHAnsi" w:hAnsiTheme="majorHAnsi"/>
          <w:b/>
          <w:sz w:val="22"/>
          <w:szCs w:val="22"/>
        </w:rPr>
        <w:t xml:space="preserve">Schlagzeilen-Collage: Demokratiedefizit beim EU-Parlament? </w:t>
      </w:r>
    </w:p>
    <w:p w14:paraId="5DF9EAB7" w14:textId="77777777" w:rsidR="00FB1948" w:rsidRPr="004F33CC" w:rsidRDefault="00FB1948" w:rsidP="00FB1948">
      <w:pPr>
        <w:tabs>
          <w:tab w:val="left" w:pos="919"/>
        </w:tabs>
        <w:rPr>
          <w:rFonts w:asciiTheme="majorHAnsi" w:hAnsi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FB1948" w:rsidRPr="004F33CC" w14:paraId="6020CB67" w14:textId="77777777" w:rsidTr="009E7CE8">
        <w:tc>
          <w:tcPr>
            <w:tcW w:w="4603" w:type="dxa"/>
          </w:tcPr>
          <w:p w14:paraId="57AE6132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„BROK VS. BRODER</w:t>
            </w:r>
          </w:p>
          <w:p w14:paraId="57D39886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Wie sinnlos ist das EU-Parlament wirklich?“</w:t>
            </w:r>
          </w:p>
          <w:p w14:paraId="6B8F32F4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Günther Lachmann, Journalist, WELT.de, 17. Mai 2014</w:t>
            </w:r>
          </w:p>
        </w:tc>
        <w:tc>
          <w:tcPr>
            <w:tcW w:w="4603" w:type="dxa"/>
          </w:tcPr>
          <w:p w14:paraId="6FA2B884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„Kein Parlament zweiten Ranges.</w:t>
            </w:r>
          </w:p>
          <w:p w14:paraId="508DA626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Die demokratische Qualität Europas“</w:t>
            </w:r>
          </w:p>
          <w:p w14:paraId="652BE5EE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 xml:space="preserve">Hans-Gert </w:t>
            </w:r>
            <w:proofErr w:type="spellStart"/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Pöttering</w:t>
            </w:r>
            <w:proofErr w:type="spellEnd"/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, Vorsitzender der Konrad-Adenauer-Stiftung, Januar/Februar 2014</w:t>
            </w:r>
          </w:p>
        </w:tc>
      </w:tr>
      <w:tr w:rsidR="00FB1948" w:rsidRPr="004F33CC" w14:paraId="57ADFA19" w14:textId="77777777" w:rsidTr="009E7CE8">
        <w:tc>
          <w:tcPr>
            <w:tcW w:w="4603" w:type="dxa"/>
          </w:tcPr>
          <w:p w14:paraId="6528167E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„EU-PARLAMENT:</w:t>
            </w:r>
          </w:p>
          <w:p w14:paraId="4DF3C513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Die machtlose Volksvertretung“</w:t>
            </w:r>
          </w:p>
          <w:p w14:paraId="1BDC59EC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Peter Schrank, Journalist, The Economist London, 19. März 2012</w:t>
            </w:r>
          </w:p>
          <w:p w14:paraId="6F727B6A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03" w:type="dxa"/>
          </w:tcPr>
          <w:p w14:paraId="15F572B1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„Gründe für das EU-Demokratiedefizit</w:t>
            </w:r>
          </w:p>
          <w:p w14:paraId="043DBA69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Europa ohne Volk“</w:t>
            </w:r>
          </w:p>
          <w:p w14:paraId="4F24F3E8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 xml:space="preserve">Niklaus </w:t>
            </w:r>
            <w:proofErr w:type="spellStart"/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Nuspliger</w:t>
            </w:r>
            <w:proofErr w:type="spellEnd"/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, Journalist, Neue Züricher Zeitung, 6. Mai 2016</w:t>
            </w:r>
          </w:p>
        </w:tc>
      </w:tr>
      <w:tr w:rsidR="00FB1948" w:rsidRPr="004F33CC" w14:paraId="61C4C385" w14:textId="77777777" w:rsidTr="009E7CE8">
        <w:tc>
          <w:tcPr>
            <w:tcW w:w="4603" w:type="dxa"/>
          </w:tcPr>
          <w:p w14:paraId="486083B9" w14:textId="6321C28A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„Das EU</w:t>
            </w:r>
            <w:r w:rsidR="00B10A01">
              <w:rPr>
                <w:rFonts w:asciiTheme="majorHAnsi" w:hAnsiTheme="majorHAnsi"/>
                <w:sz w:val="22"/>
                <w:szCs w:val="22"/>
              </w:rPr>
              <w:t>-</w:t>
            </w:r>
            <w:r w:rsidRPr="004F33CC">
              <w:rPr>
                <w:rFonts w:asciiTheme="majorHAnsi" w:hAnsiTheme="majorHAnsi"/>
                <w:sz w:val="22"/>
                <w:szCs w:val="22"/>
              </w:rPr>
              <w:t>Parlament ist ein gutes Beispiel für funktionierende multination</w:t>
            </w:r>
            <w:bookmarkStart w:id="0" w:name="_GoBack"/>
            <w:bookmarkEnd w:id="0"/>
            <w:r w:rsidRPr="004F33CC">
              <w:rPr>
                <w:rFonts w:asciiTheme="majorHAnsi" w:hAnsiTheme="majorHAnsi"/>
                <w:sz w:val="22"/>
                <w:szCs w:val="22"/>
              </w:rPr>
              <w:t>ale und multilinguale Demokratie.“</w:t>
            </w:r>
          </w:p>
          <w:p w14:paraId="39AA269A" w14:textId="2241C8B1" w:rsidR="00FB1948" w:rsidRPr="004F33CC" w:rsidRDefault="0006746E" w:rsidP="009E7CE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E</w:t>
            </w:r>
            <w:r w:rsidR="00FB1948" w:rsidRPr="004F33CC">
              <w:rPr>
                <w:rFonts w:asciiTheme="majorHAnsi" w:hAnsiTheme="majorHAnsi"/>
                <w:i/>
                <w:sz w:val="22"/>
                <w:szCs w:val="22"/>
              </w:rPr>
              <w:t xml:space="preserve">urope </w:t>
            </w:r>
            <w:proofErr w:type="spellStart"/>
            <w:r>
              <w:rPr>
                <w:rFonts w:asciiTheme="majorHAnsi" w:hAnsiTheme="majorHAnsi"/>
                <w:i/>
                <w:sz w:val="22"/>
                <w:szCs w:val="22"/>
              </w:rPr>
              <w:t>D</w:t>
            </w:r>
            <w:r w:rsidR="00FB1948" w:rsidRPr="004F33CC">
              <w:rPr>
                <w:rFonts w:asciiTheme="majorHAnsi" w:hAnsiTheme="majorHAnsi"/>
                <w:i/>
                <w:sz w:val="22"/>
                <w:szCs w:val="22"/>
              </w:rPr>
              <w:t>irect</w:t>
            </w:r>
            <w:proofErr w:type="spellEnd"/>
            <w:r w:rsidR="00FB1948" w:rsidRPr="004F33CC">
              <w:rPr>
                <w:rFonts w:asciiTheme="majorHAnsi" w:hAnsiTheme="majorHAnsi"/>
                <w:i/>
                <w:sz w:val="22"/>
                <w:szCs w:val="22"/>
              </w:rPr>
              <w:t>, Informationszentrum Köln, Internetauftritt</w:t>
            </w:r>
          </w:p>
          <w:p w14:paraId="4F97A5FB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03" w:type="dxa"/>
          </w:tcPr>
          <w:p w14:paraId="07C76554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„Das europäische Parlament – nur ein Papiertiger?“</w:t>
            </w:r>
          </w:p>
          <w:p w14:paraId="07870483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Andreas Wehr, Autor, Zeitschrift marxistische Erneuerung, September 2003</w:t>
            </w:r>
          </w:p>
        </w:tc>
      </w:tr>
    </w:tbl>
    <w:p w14:paraId="548DAC6B" w14:textId="77777777" w:rsidR="00FB1948" w:rsidRPr="004F33CC" w:rsidRDefault="00FB1948" w:rsidP="00FB1948">
      <w:pPr>
        <w:rPr>
          <w:rFonts w:asciiTheme="majorHAnsi" w:hAnsiTheme="majorHAnsi"/>
          <w:sz w:val="22"/>
          <w:szCs w:val="22"/>
        </w:rPr>
      </w:pPr>
    </w:p>
    <w:p w14:paraId="5A1C5C50" w14:textId="77777777" w:rsidR="00FB1948" w:rsidRPr="004F33CC" w:rsidRDefault="00FB1948" w:rsidP="00FB1948">
      <w:pPr>
        <w:rPr>
          <w:rFonts w:asciiTheme="majorHAnsi" w:hAnsiTheme="majorHAnsi"/>
          <w:sz w:val="22"/>
          <w:szCs w:val="22"/>
        </w:rPr>
      </w:pPr>
    </w:p>
    <w:p w14:paraId="0D0E41EE" w14:textId="77777777" w:rsidR="00FB1948" w:rsidRPr="004F33CC" w:rsidRDefault="00FB1948" w:rsidP="00FB1948">
      <w:pPr>
        <w:rPr>
          <w:rFonts w:asciiTheme="majorHAnsi" w:hAnsiTheme="majorHAnsi"/>
          <w:b/>
          <w:sz w:val="22"/>
          <w:szCs w:val="22"/>
        </w:rPr>
      </w:pPr>
      <w:r w:rsidRPr="004F33CC">
        <w:rPr>
          <w:rFonts w:asciiTheme="majorHAnsi" w:hAnsiTheme="majorHAnsi"/>
          <w:b/>
          <w:sz w:val="22"/>
          <w:szCs w:val="22"/>
        </w:rPr>
        <w:t xml:space="preserve">Schlagzeilen-Collage: Gemeinsame Agrarpolitik – wie weiter? </w:t>
      </w:r>
    </w:p>
    <w:p w14:paraId="77040B45" w14:textId="77777777" w:rsidR="00FB1948" w:rsidRPr="004F33CC" w:rsidRDefault="00FB1948" w:rsidP="00FB1948">
      <w:pPr>
        <w:rPr>
          <w:rFonts w:asciiTheme="majorHAnsi" w:hAnsiTheme="maj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FB1948" w:rsidRPr="004F33CC" w14:paraId="78C17B8E" w14:textId="77777777" w:rsidTr="009E7CE8">
        <w:tc>
          <w:tcPr>
            <w:tcW w:w="4603" w:type="dxa"/>
          </w:tcPr>
          <w:p w14:paraId="71313EAA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„Mehrere EU-Staaten gegen weitere Agrarreform in 2020“</w:t>
            </w:r>
          </w:p>
          <w:p w14:paraId="093DEF7B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 xml:space="preserve">Alfons </w:t>
            </w:r>
            <w:proofErr w:type="spellStart"/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Deter</w:t>
            </w:r>
            <w:proofErr w:type="spellEnd"/>
            <w:r w:rsidRPr="004F33CC">
              <w:rPr>
                <w:rFonts w:asciiTheme="majorHAnsi" w:hAnsiTheme="majorHAnsi"/>
                <w:i/>
                <w:sz w:val="22"/>
                <w:szCs w:val="22"/>
              </w:rPr>
              <w:t xml:space="preserve">, topagraronline.de, 04. Mai 2015 </w:t>
            </w:r>
          </w:p>
        </w:tc>
        <w:tc>
          <w:tcPr>
            <w:tcW w:w="4603" w:type="dxa"/>
          </w:tcPr>
          <w:p w14:paraId="2818EE91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„Ziele der EU-Agrarpolitik neu definieren“</w:t>
            </w:r>
          </w:p>
          <w:p w14:paraId="5F8502F2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Deutscher Naturschutzring, September 2016</w:t>
            </w:r>
          </w:p>
          <w:p w14:paraId="0CCEE8B1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1948" w:rsidRPr="004F33CC" w14:paraId="34460E6D" w14:textId="77777777" w:rsidTr="009E7CE8">
        <w:tc>
          <w:tcPr>
            <w:tcW w:w="4603" w:type="dxa"/>
          </w:tcPr>
          <w:p w14:paraId="31ADEBB3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„Fit – fair – nachhaltig: Eine neue Agrarpolitik ist möglich“</w:t>
            </w:r>
          </w:p>
          <w:p w14:paraId="78380844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 xml:space="preserve">Konstantin </w:t>
            </w:r>
            <w:proofErr w:type="spellStart"/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Kreiser</w:t>
            </w:r>
            <w:proofErr w:type="spellEnd"/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, NABU-Bundesverband, November 2016</w:t>
            </w:r>
          </w:p>
          <w:p w14:paraId="18A21B88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4603" w:type="dxa"/>
            <w:vMerge w:val="restart"/>
          </w:tcPr>
          <w:p w14:paraId="1E06E994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„COPA (EU-Ausschüsse der Bauernverbände)-COGECA (und ländlichen Genossenschaften) fordern weitere Unterstützung von Erzeugerorganisationen“</w:t>
            </w:r>
          </w:p>
          <w:p w14:paraId="0A3B9CF3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topagraronline.de, Oktober 2016</w:t>
            </w:r>
          </w:p>
          <w:p w14:paraId="2C00C303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FB1948" w:rsidRPr="004F33CC" w14:paraId="505CB1D8" w14:textId="77777777" w:rsidTr="009E7CE8">
        <w:trPr>
          <w:trHeight w:val="843"/>
        </w:trPr>
        <w:tc>
          <w:tcPr>
            <w:tcW w:w="4603" w:type="dxa"/>
            <w:vMerge w:val="restart"/>
          </w:tcPr>
          <w:p w14:paraId="7EA4383F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„EU-Agrarpolitik: Experten fordern radikale Reformen“</w:t>
            </w:r>
          </w:p>
          <w:p w14:paraId="7D0EC21E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Timothy Spence, EurActiv.com, Juli 2015</w:t>
            </w:r>
          </w:p>
          <w:p w14:paraId="3A39F535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14:paraId="5C80B2EA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1948" w:rsidRPr="004F33CC" w14:paraId="777642B0" w14:textId="77777777" w:rsidTr="009E7CE8">
        <w:trPr>
          <w:trHeight w:val="293"/>
        </w:trPr>
        <w:tc>
          <w:tcPr>
            <w:tcW w:w="4603" w:type="dxa"/>
            <w:vMerge/>
          </w:tcPr>
          <w:p w14:paraId="0F1F8875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03" w:type="dxa"/>
            <w:vMerge w:val="restart"/>
          </w:tcPr>
          <w:p w14:paraId="47C2B3F0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„Zukunft der GAP: Dritte Säule für Krisenabsicherung im Gespräch“</w:t>
            </w:r>
          </w:p>
          <w:p w14:paraId="137DEA50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Hermann Krauß, agrarheute, September 2016</w:t>
            </w:r>
          </w:p>
          <w:p w14:paraId="6092B6A8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1948" w:rsidRPr="004F33CC" w14:paraId="765DE04A" w14:textId="77777777" w:rsidTr="009E7CE8">
        <w:tc>
          <w:tcPr>
            <w:tcW w:w="4603" w:type="dxa"/>
          </w:tcPr>
          <w:p w14:paraId="0EE95D37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  <w:r w:rsidRPr="004F33CC">
              <w:rPr>
                <w:rFonts w:asciiTheme="majorHAnsi" w:hAnsiTheme="majorHAnsi"/>
                <w:sz w:val="22"/>
                <w:szCs w:val="22"/>
              </w:rPr>
              <w:t>„Agrarbranche leistet Widerstand gegen EU-Emissionsgrenzen für Methan“</w:t>
            </w:r>
          </w:p>
          <w:p w14:paraId="29A9C373" w14:textId="77777777" w:rsidR="00FB1948" w:rsidRPr="004F33CC" w:rsidRDefault="00FB1948" w:rsidP="009E7CE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F33CC">
              <w:rPr>
                <w:rFonts w:asciiTheme="majorHAnsi" w:hAnsiTheme="majorHAnsi"/>
                <w:i/>
                <w:sz w:val="22"/>
                <w:szCs w:val="22"/>
              </w:rPr>
              <w:t xml:space="preserve">James </w:t>
            </w:r>
            <w:proofErr w:type="spellStart"/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Crisp</w:t>
            </w:r>
            <w:proofErr w:type="spellEnd"/>
            <w:r w:rsidRPr="004F33CC">
              <w:rPr>
                <w:rFonts w:asciiTheme="majorHAnsi" w:hAnsiTheme="majorHAnsi"/>
                <w:i/>
                <w:sz w:val="22"/>
                <w:szCs w:val="22"/>
              </w:rPr>
              <w:t>, EurActiv.com, Januar 2016</w:t>
            </w:r>
          </w:p>
          <w:p w14:paraId="70BBDCA7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14:paraId="720CF69D" w14:textId="77777777" w:rsidR="00FB1948" w:rsidRPr="004F33CC" w:rsidRDefault="00FB1948" w:rsidP="009E7CE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A726F72" w14:textId="77777777" w:rsidR="00FB1948" w:rsidRPr="004F33CC" w:rsidRDefault="00FB1948" w:rsidP="00FB1948">
      <w:pPr>
        <w:rPr>
          <w:rFonts w:asciiTheme="majorHAnsi" w:hAnsiTheme="majorHAnsi"/>
          <w:sz w:val="22"/>
          <w:szCs w:val="22"/>
        </w:rPr>
      </w:pPr>
    </w:p>
    <w:p w14:paraId="632A25EE" w14:textId="77777777" w:rsidR="00FB1948" w:rsidRPr="004F33CC" w:rsidRDefault="00FB1948" w:rsidP="00FB1948">
      <w:pPr>
        <w:rPr>
          <w:rFonts w:asciiTheme="majorHAnsi" w:hAnsiTheme="majorHAnsi"/>
          <w:sz w:val="22"/>
          <w:szCs w:val="22"/>
        </w:rPr>
      </w:pPr>
    </w:p>
    <w:p w14:paraId="62FDFA2B" w14:textId="77777777" w:rsidR="00FB1948" w:rsidRDefault="00FB1948"/>
    <w:sectPr w:rsidR="00FB1948" w:rsidSect="00F737AC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99636" w14:textId="77777777" w:rsidR="00FB1948" w:rsidRDefault="00FB1948" w:rsidP="00FB1948">
      <w:r>
        <w:separator/>
      </w:r>
    </w:p>
  </w:endnote>
  <w:endnote w:type="continuationSeparator" w:id="0">
    <w:p w14:paraId="61F2F7B9" w14:textId="77777777" w:rsidR="00FB1948" w:rsidRDefault="00FB1948" w:rsidP="00FB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3343D" w14:textId="77777777" w:rsidR="00FB1948" w:rsidRDefault="00FB1948" w:rsidP="00FB1948">
      <w:r>
        <w:separator/>
      </w:r>
    </w:p>
  </w:footnote>
  <w:footnote w:type="continuationSeparator" w:id="0">
    <w:p w14:paraId="4D9E8B49" w14:textId="77777777" w:rsidR="00FB1948" w:rsidRDefault="00FB1948" w:rsidP="00FB19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2BE2E" w14:textId="77777777" w:rsidR="00FB1948" w:rsidRDefault="00FB1948">
    <w:pPr>
      <w:pStyle w:val="Kopfzeile"/>
    </w:pPr>
    <w:r w:rsidRPr="00B703DD">
      <w:rPr>
        <w:noProof/>
      </w:rPr>
      <w:drawing>
        <wp:anchor distT="0" distB="0" distL="114300" distR="114300" simplePos="0" relativeHeight="251659264" behindDoc="0" locked="0" layoutInCell="1" allowOverlap="1" wp14:anchorId="049F07DC" wp14:editId="63FD314D">
          <wp:simplePos x="0" y="0"/>
          <wp:positionH relativeFrom="column">
            <wp:posOffset>4800600</wp:posOffset>
          </wp:positionH>
          <wp:positionV relativeFrom="paragraph">
            <wp:posOffset>-121285</wp:posOffset>
          </wp:positionV>
          <wp:extent cx="865505" cy="399415"/>
          <wp:effectExtent l="0" t="0" r="0" b="6985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3994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DD">
      <w:rPr>
        <w:noProof/>
      </w:rPr>
      <w:drawing>
        <wp:anchor distT="0" distB="0" distL="114300" distR="114300" simplePos="0" relativeHeight="251660288" behindDoc="0" locked="0" layoutInCell="1" allowOverlap="1" wp14:anchorId="03594186" wp14:editId="12337066">
          <wp:simplePos x="0" y="0"/>
          <wp:positionH relativeFrom="column">
            <wp:posOffset>2743200</wp:posOffset>
          </wp:positionH>
          <wp:positionV relativeFrom="paragraph">
            <wp:posOffset>107315</wp:posOffset>
          </wp:positionV>
          <wp:extent cx="1828800" cy="194310"/>
          <wp:effectExtent l="0" t="0" r="0" b="8890"/>
          <wp:wrapSquare wrapText="bothSides"/>
          <wp:docPr id="4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DD">
      <w:rPr>
        <w:noProof/>
      </w:rPr>
      <w:drawing>
        <wp:anchor distT="0" distB="0" distL="114300" distR="114300" simplePos="0" relativeHeight="251661312" behindDoc="0" locked="0" layoutInCell="1" allowOverlap="1" wp14:anchorId="5A6BADCE" wp14:editId="6FF78CE0">
          <wp:simplePos x="0" y="0"/>
          <wp:positionH relativeFrom="column">
            <wp:posOffset>1257300</wp:posOffset>
          </wp:positionH>
          <wp:positionV relativeFrom="paragraph">
            <wp:posOffset>-6985</wp:posOffset>
          </wp:positionV>
          <wp:extent cx="1376045" cy="324000"/>
          <wp:effectExtent l="0" t="0" r="0" b="6350"/>
          <wp:wrapSquare wrapText="bothSides"/>
          <wp:docPr id="6" name="Bild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DD">
      <w:rPr>
        <w:noProof/>
      </w:rPr>
      <w:drawing>
        <wp:anchor distT="0" distB="0" distL="114300" distR="114300" simplePos="0" relativeHeight="251662336" behindDoc="0" locked="0" layoutInCell="1" allowOverlap="1" wp14:anchorId="06E473CD" wp14:editId="053B2DDB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18425" cy="324000"/>
          <wp:effectExtent l="0" t="0" r="0" b="635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42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48"/>
    <w:rsid w:val="0006746E"/>
    <w:rsid w:val="00900A83"/>
    <w:rsid w:val="00B10A01"/>
    <w:rsid w:val="00E6441F"/>
    <w:rsid w:val="00F737AC"/>
    <w:rsid w:val="00FB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85D4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194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B194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B1948"/>
  </w:style>
  <w:style w:type="paragraph" w:styleId="Fuzeile">
    <w:name w:val="footer"/>
    <w:basedOn w:val="Standard"/>
    <w:link w:val="FuzeileZeichen"/>
    <w:uiPriority w:val="99"/>
    <w:unhideWhenUsed/>
    <w:rsid w:val="00FB194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B1948"/>
  </w:style>
  <w:style w:type="table" w:styleId="MittlereListe1">
    <w:name w:val="Medium List 1"/>
    <w:basedOn w:val="NormaleTabelle"/>
    <w:uiPriority w:val="65"/>
    <w:rsid w:val="00FB194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ellenraster">
    <w:name w:val="Table Grid"/>
    <w:basedOn w:val="NormaleTabelle"/>
    <w:uiPriority w:val="59"/>
    <w:rsid w:val="00FB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194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B194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B1948"/>
  </w:style>
  <w:style w:type="paragraph" w:styleId="Fuzeile">
    <w:name w:val="footer"/>
    <w:basedOn w:val="Standard"/>
    <w:link w:val="FuzeileZeichen"/>
    <w:uiPriority w:val="99"/>
    <w:unhideWhenUsed/>
    <w:rsid w:val="00FB194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B1948"/>
  </w:style>
  <w:style w:type="table" w:styleId="MittlereListe1">
    <w:name w:val="Medium List 1"/>
    <w:basedOn w:val="NormaleTabelle"/>
    <w:uiPriority w:val="65"/>
    <w:rsid w:val="00FB194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ellenraster">
    <w:name w:val="Table Grid"/>
    <w:basedOn w:val="NormaleTabelle"/>
    <w:uiPriority w:val="59"/>
    <w:rsid w:val="00FB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2603</Characters>
  <Application>Microsoft Macintosh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Grimm</dc:creator>
  <cp:keywords/>
  <dc:description/>
  <cp:lastModifiedBy>Eurosoc Digital</cp:lastModifiedBy>
  <cp:revision>5</cp:revision>
  <dcterms:created xsi:type="dcterms:W3CDTF">2017-02-06T15:07:00Z</dcterms:created>
  <dcterms:modified xsi:type="dcterms:W3CDTF">2018-02-01T10:20:00Z</dcterms:modified>
</cp:coreProperties>
</file>